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45" w:rsidRPr="006D2445" w:rsidRDefault="006D2445" w:rsidP="006D2445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48"/>
          <w:szCs w:val="48"/>
          <w:lang w:eastAsia="it-IT"/>
        </w:rPr>
      </w:pPr>
      <w:r w:rsidRPr="006D2445">
        <w:rPr>
          <w:rFonts w:ascii="Tahoma" w:eastAsia="Times New Roman" w:hAnsi="Tahoma" w:cs="Tahoma"/>
          <w:b/>
          <w:bCs/>
          <w:noProof w:val="0"/>
          <w:color w:val="872643"/>
          <w:kern w:val="36"/>
          <w:sz w:val="48"/>
          <w:szCs w:val="48"/>
          <w:lang w:eastAsia="it-IT"/>
        </w:rPr>
        <w:t xml:space="preserve">WEBINAR </w:t>
      </w:r>
      <w:r w:rsidR="00165000">
        <w:rPr>
          <w:rFonts w:ascii="Tahoma" w:eastAsia="Times New Roman" w:hAnsi="Tahoma" w:cs="Tahoma"/>
          <w:b/>
          <w:bCs/>
          <w:noProof w:val="0"/>
          <w:color w:val="872643"/>
          <w:kern w:val="36"/>
          <w:sz w:val="48"/>
          <w:szCs w:val="48"/>
          <w:lang w:eastAsia="it-IT"/>
        </w:rPr>
        <w:t>5</w:t>
      </w:r>
    </w:p>
    <w:p w:rsidR="006D2445" w:rsidRDefault="006D2445" w:rsidP="006D2445">
      <w:pPr>
        <w:shd w:val="clear" w:color="auto" w:fill="FFFFFF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noProof w:val="0"/>
          <w:color w:val="872643"/>
          <w:kern w:val="36"/>
          <w:sz w:val="48"/>
          <w:szCs w:val="48"/>
          <w:lang w:eastAsia="it-IT"/>
        </w:rPr>
      </w:pPr>
      <w:r w:rsidRPr="006D2445">
        <w:rPr>
          <w:rFonts w:ascii="Tahoma" w:eastAsia="Times New Roman" w:hAnsi="Tahoma" w:cs="Tahoma"/>
          <w:b/>
          <w:bCs/>
          <w:noProof w:val="0"/>
          <w:color w:val="872643"/>
          <w:kern w:val="36"/>
          <w:sz w:val="48"/>
          <w:szCs w:val="48"/>
          <w:lang w:eastAsia="it-IT"/>
        </w:rPr>
        <w:t>Le norme tecniche per la redazione degli studi di impatto ambientale</w:t>
      </w:r>
    </w:p>
    <w:p w:rsidR="00165000" w:rsidRPr="006D2445" w:rsidRDefault="00165000" w:rsidP="006D2445">
      <w:pPr>
        <w:shd w:val="clear" w:color="auto" w:fill="FFFFFF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noProof w:val="0"/>
          <w:color w:val="872643"/>
          <w:kern w:val="36"/>
          <w:sz w:val="48"/>
          <w:szCs w:val="48"/>
          <w:lang w:eastAsia="it-IT"/>
        </w:rPr>
      </w:pPr>
    </w:p>
    <w:p w:rsidR="00AE30F2" w:rsidRPr="00165000" w:rsidRDefault="00F160F8" w:rsidP="006D2445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48"/>
          <w:szCs w:val="48"/>
          <w:lang w:eastAsia="it-IT"/>
        </w:rPr>
      </w:pPr>
      <w:r>
        <w:rPr>
          <w:rFonts w:ascii="Tahoma" w:eastAsia="Times New Roman" w:hAnsi="Tahoma" w:cs="Tahoma"/>
          <w:b/>
          <w:bCs/>
          <w:noProof w:val="0"/>
          <w:color w:val="872643"/>
          <w:kern w:val="36"/>
          <w:sz w:val="48"/>
          <w:szCs w:val="48"/>
          <w:lang w:eastAsia="it-IT"/>
        </w:rPr>
        <w:t>Biodiversità</w:t>
      </w:r>
    </w:p>
    <w:p w:rsidR="00EB5B67" w:rsidRPr="006D2445" w:rsidRDefault="00EB5B67" w:rsidP="006D2445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48"/>
          <w:szCs w:val="48"/>
          <w:lang w:eastAsia="it-IT"/>
        </w:rPr>
      </w:pPr>
    </w:p>
    <w:p w:rsidR="006D2445" w:rsidRPr="006D2445" w:rsidRDefault="00F160F8" w:rsidP="006D2445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36"/>
          <w:szCs w:val="36"/>
          <w:lang w:eastAsia="it-IT"/>
        </w:rPr>
      </w:pPr>
      <w:r>
        <w:rPr>
          <w:rFonts w:ascii="Tahoma" w:eastAsia="Times New Roman" w:hAnsi="Tahoma" w:cs="Tahoma"/>
          <w:b/>
          <w:bCs/>
          <w:noProof w:val="0"/>
          <w:color w:val="872643"/>
          <w:kern w:val="36"/>
          <w:sz w:val="36"/>
          <w:szCs w:val="36"/>
          <w:lang w:eastAsia="it-IT"/>
        </w:rPr>
        <w:t xml:space="preserve">5 </w:t>
      </w:r>
      <w:r w:rsidR="006D2445" w:rsidRPr="006D2445">
        <w:rPr>
          <w:rFonts w:ascii="Tahoma" w:eastAsia="Times New Roman" w:hAnsi="Tahoma" w:cs="Tahoma"/>
          <w:b/>
          <w:bCs/>
          <w:noProof w:val="0"/>
          <w:color w:val="872643"/>
          <w:kern w:val="36"/>
          <w:sz w:val="36"/>
          <w:szCs w:val="36"/>
          <w:lang w:eastAsia="it-IT"/>
        </w:rPr>
        <w:t>MARZO 2021</w:t>
      </w:r>
    </w:p>
    <w:p w:rsidR="006D2445" w:rsidRPr="00454C45" w:rsidRDefault="006D2445" w:rsidP="006D2445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40"/>
          <w:szCs w:val="40"/>
          <w:lang w:eastAsia="it-IT"/>
        </w:rPr>
      </w:pPr>
    </w:p>
    <w:p w:rsidR="006D2445" w:rsidRPr="006D2445" w:rsidRDefault="006D2445" w:rsidP="006D2445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72"/>
          <w:szCs w:val="72"/>
          <w:lang w:eastAsia="it-IT"/>
        </w:rPr>
      </w:pPr>
      <w:r w:rsidRPr="006D2445">
        <w:rPr>
          <w:rFonts w:ascii="Tahoma" w:eastAsia="Times New Roman" w:hAnsi="Tahoma" w:cs="Tahoma"/>
          <w:b/>
          <w:bCs/>
          <w:noProof w:val="0"/>
          <w:color w:val="872643"/>
          <w:kern w:val="36"/>
          <w:sz w:val="72"/>
          <w:szCs w:val="72"/>
          <w:lang w:eastAsia="it-IT"/>
        </w:rPr>
        <w:t>FAQ</w:t>
      </w:r>
    </w:p>
    <w:p w:rsidR="00454C45" w:rsidRDefault="00454C45" w:rsidP="006D2445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40"/>
          <w:szCs w:val="40"/>
          <w:lang w:eastAsia="it-IT"/>
        </w:rPr>
      </w:pPr>
    </w:p>
    <w:p w:rsidR="00F160F8" w:rsidRPr="00454C45" w:rsidRDefault="00F160F8" w:rsidP="006D2445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40"/>
          <w:szCs w:val="40"/>
          <w:lang w:eastAsia="it-IT"/>
        </w:rPr>
      </w:pPr>
    </w:p>
    <w:p w:rsidR="00EB5B67" w:rsidRPr="006D2445" w:rsidRDefault="00165000" w:rsidP="00EB5B67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40"/>
          <w:szCs w:val="40"/>
          <w:lang w:eastAsia="it-IT"/>
        </w:rPr>
      </w:pPr>
      <w:r>
        <w:rPr>
          <w:rFonts w:ascii="Tahoma" w:eastAsia="Times New Roman" w:hAnsi="Tahoma" w:cs="Tahoma"/>
          <w:b/>
          <w:bCs/>
          <w:noProof w:val="0"/>
          <w:color w:val="872643"/>
          <w:kern w:val="36"/>
          <w:sz w:val="40"/>
          <w:szCs w:val="40"/>
          <w:lang w:eastAsia="it-IT"/>
        </w:rPr>
        <w:t>Relat</w:t>
      </w:r>
      <w:r w:rsidR="00F160F8">
        <w:rPr>
          <w:rFonts w:ascii="Tahoma" w:eastAsia="Times New Roman" w:hAnsi="Tahoma" w:cs="Tahoma"/>
          <w:b/>
          <w:bCs/>
          <w:noProof w:val="0"/>
          <w:color w:val="872643"/>
          <w:kern w:val="36"/>
          <w:sz w:val="40"/>
          <w:szCs w:val="40"/>
          <w:lang w:eastAsia="it-IT"/>
        </w:rPr>
        <w:t>rice</w:t>
      </w:r>
    </w:p>
    <w:p w:rsidR="00165000" w:rsidRPr="006D2445" w:rsidRDefault="00F160F8" w:rsidP="00165000">
      <w:pPr>
        <w:jc w:val="center"/>
        <w:rPr>
          <w:rFonts w:ascii="Tahoma" w:eastAsia="Times New Roman" w:hAnsi="Tahoma" w:cs="Tahoma"/>
          <w:b/>
          <w:bCs/>
          <w:noProof w:val="0"/>
          <w:color w:val="872643"/>
          <w:kern w:val="36"/>
          <w:sz w:val="40"/>
          <w:szCs w:val="40"/>
          <w:lang w:eastAsia="it-IT"/>
        </w:rPr>
      </w:pPr>
      <w:r>
        <w:rPr>
          <w:rFonts w:ascii="Tahoma" w:eastAsia="Times New Roman" w:hAnsi="Tahoma" w:cs="Tahoma"/>
          <w:b/>
          <w:bCs/>
          <w:noProof w:val="0"/>
          <w:color w:val="872643"/>
          <w:kern w:val="36"/>
          <w:sz w:val="40"/>
          <w:szCs w:val="40"/>
          <w:lang w:eastAsia="it-IT"/>
        </w:rPr>
        <w:t>Dott.ssa Cecilia Lorusso</w:t>
      </w:r>
    </w:p>
    <w:p w:rsidR="00EB5B67" w:rsidRDefault="00EB5B67" w:rsidP="00165000">
      <w:pPr>
        <w:jc w:val="center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</w:p>
    <w:p w:rsidR="00EB5B67" w:rsidRDefault="00F160F8">
      <w:pP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color w:val="872643"/>
          <w:kern w:val="36"/>
          <w:sz w:val="40"/>
          <w:szCs w:val="40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358775</wp:posOffset>
            </wp:positionV>
            <wp:extent cx="6861810" cy="2743200"/>
            <wp:effectExtent l="0" t="0" r="0" b="0"/>
            <wp:wrapNone/>
            <wp:docPr id="2" name="Immagine 1" descr="marc_fototess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arc_fototess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B67" w:rsidRDefault="00EB5B67">
      <w:pP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</w:p>
    <w:p w:rsidR="00165000" w:rsidRDefault="006D2445" w:rsidP="00165000">
      <w: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br w:type="page"/>
      </w:r>
    </w:p>
    <w:p w:rsidR="00F160F8" w:rsidRPr="00F160F8" w:rsidRDefault="00F160F8" w:rsidP="00F160F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lastRenderedPageBreak/>
        <w:t>Nel caso in cui sia prevista anche la VINCA come endoprocedimento è possibile rimandare il fattore ambientale</w:t>
      </w:r>
      <w: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 “</w:t>
      </w: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Biodiversità</w:t>
      </w:r>
      <w: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”</w:t>
      </w: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 direttamente alla relazione di VINCA?</w:t>
      </w:r>
    </w:p>
    <w:p w:rsidR="00F160F8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00A4">
        <w:rPr>
          <w:rFonts w:ascii="Times New Roman" w:eastAsia="Times New Roman" w:hAnsi="Times New Roman"/>
          <w:sz w:val="24"/>
          <w:szCs w:val="24"/>
          <w:lang w:eastAsia="it-IT"/>
        </w:rPr>
        <w:t>No, non è possibile. Infatti pur essendo un endoprocedimento la VINCA deve essere a sé stante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ed</w:t>
      </w:r>
      <w:r w:rsidRPr="00F800A4">
        <w:rPr>
          <w:rFonts w:ascii="Times New Roman" w:eastAsia="Times New Roman" w:hAnsi="Times New Roman"/>
          <w:sz w:val="24"/>
          <w:szCs w:val="24"/>
          <w:lang w:eastAsia="it-IT"/>
        </w:rPr>
        <w:t xml:space="preserve"> autoportante. </w:t>
      </w: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>Inoltre i contenuti del SIA (fattore Biodiversità)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 xml:space="preserve">sono diversi da quelli della VINCA. Nella VINCA si approfondiscono i temi trattati dalla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 xml:space="preserve">irettiva Habitat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 dalla Direttiva Uccelli </w:t>
      </w: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>e quindi le specie e gli habitat per cui i siti sono stati istituiti, nel SIA si approfondiscono gli aspetti relativi a vegetazione, flora e fauna presenti nell’area di sito e nell’area vasta.</w:t>
      </w:r>
    </w:p>
    <w:p w:rsidR="00F160F8" w:rsidRPr="00F800A4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F160F8" w:rsidRPr="00F160F8" w:rsidRDefault="00F160F8" w:rsidP="00F160F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Per quel che concerne l'impatto del rumore sugli ecosistemi, ed in particolare sulla fauna, siete a conoscenza di studi in tal senso?</w:t>
      </w:r>
    </w:p>
    <w:p w:rsidR="00F160F8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Una proposta di metodologia per la stima degli eventuali impatti da rumore prodotti dalle attività di cantiere, in particolare sulla componente avifaunistica, è stata proposta nell’ambito della valutazione delle attività del MOSE.</w:t>
      </w:r>
    </w:p>
    <w:p w:rsidR="00F160F8" w:rsidRPr="008C2D95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F8" w:rsidRPr="00F160F8" w:rsidRDefault="00F160F8" w:rsidP="00F160F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R</w:t>
      </w: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iguardo </w:t>
      </w:r>
      <w: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il fattore </w:t>
      </w: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biodiversità</w:t>
      </w:r>
      <w: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,</w:t>
      </w: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 come mai non vengono citati i servizi ecosistemici (ad oggi tematica molto attuale)?</w:t>
      </w:r>
    </w:p>
    <w:p w:rsidR="00814B58" w:rsidRPr="00814B58" w:rsidRDefault="00F160F8" w:rsidP="0081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54084">
        <w:rPr>
          <w:rFonts w:ascii="Times New Roman" w:eastAsia="Times New Roman" w:hAnsi="Times New Roman"/>
          <w:sz w:val="24"/>
          <w:szCs w:val="24"/>
          <w:lang w:eastAsia="it-IT"/>
        </w:rPr>
        <w:t xml:space="preserve">La proposta di Norme tecniche tratta i potenziali impatti dell’opera sui fattori ambientali, cioè in questo caso sulla </w:t>
      </w:r>
      <w:r w:rsidRPr="00814B58">
        <w:rPr>
          <w:rFonts w:ascii="Times New Roman" w:eastAsia="Times New Roman" w:hAnsi="Times New Roman"/>
          <w:sz w:val="24"/>
          <w:szCs w:val="24"/>
          <w:lang w:eastAsia="it-IT"/>
        </w:rPr>
        <w:t>Biodiversità</w:t>
      </w:r>
      <w:r w:rsidR="00164CCA" w:rsidRPr="00814B58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="00814B58" w:rsidRPr="00814B58">
        <w:rPr>
          <w:rFonts w:ascii="Times New Roman" w:eastAsia="Times New Roman" w:hAnsi="Times New Roman"/>
          <w:iCs/>
          <w:sz w:val="24"/>
          <w:szCs w:val="24"/>
          <w:lang w:eastAsia="it-IT"/>
        </w:rPr>
        <w:t> I servizi ecosistemici non sono considerati un fattore ambientale dalla direttiva VIA, tuttavia  </w:t>
      </w:r>
      <w:r w:rsidR="00814B58" w:rsidRPr="00814B58">
        <w:rPr>
          <w:rFonts w:ascii="Times New Roman" w:eastAsia="Times New Roman" w:hAnsi="Times New Roman"/>
          <w:sz w:val="24"/>
          <w:szCs w:val="24"/>
          <w:lang w:eastAsia="it-IT"/>
        </w:rPr>
        <w:t>possono essere trattati  all’interno delle misure di mitigazione e/o di adattamento ai cambiamenti climatici.</w:t>
      </w:r>
    </w:p>
    <w:p w:rsidR="00814B58" w:rsidRDefault="00814B58" w:rsidP="0081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</w:p>
    <w:p w:rsidR="00F160F8" w:rsidRPr="00814B58" w:rsidRDefault="00F160F8" w:rsidP="00814B5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r w:rsidRPr="00814B5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Nel caso specifico di un impianto eolico, lo Shadow </w:t>
      </w:r>
      <w:proofErr w:type="spellStart"/>
      <w:r w:rsidRPr="00814B5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Flickering</w:t>
      </w:r>
      <w:proofErr w:type="spellEnd"/>
      <w:r w:rsidRPr="00814B5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 è da considerarsi un agente impattante e da valutare?</w:t>
      </w:r>
    </w:p>
    <w:p w:rsidR="00F160F8" w:rsidRPr="008E17AE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Pr="008E17AE">
        <w:rPr>
          <w:rFonts w:ascii="Times New Roman" w:eastAsia="Times New Roman" w:hAnsi="Times New Roman"/>
          <w:sz w:val="24"/>
          <w:szCs w:val="24"/>
          <w:lang w:eastAsia="it-IT"/>
        </w:rPr>
        <w:t xml:space="preserve">o Shadow Flickering riguarda prevalentemente il fattore salute pubblica (quando l'ombra del pilone ricade su luoghi abitati/frequentati), </w:t>
      </w:r>
      <w:bookmarkStart w:id="0" w:name="_GoBack"/>
      <w:bookmarkEnd w:id="0"/>
      <w:r w:rsidRPr="00814B58">
        <w:rPr>
          <w:rFonts w:ascii="Times New Roman" w:eastAsia="Times New Roman" w:hAnsi="Times New Roman"/>
          <w:sz w:val="24"/>
          <w:szCs w:val="24"/>
          <w:lang w:eastAsia="it-IT"/>
        </w:rPr>
        <w:t>ma anche gli aspetti agroecosistemici ed il paesaggio. Può quindi avere varie tipologie di impatto che ovviamente devono essere valutate. In generale è un aspetto che viene comunemente affrontato negli Studi di Impatto Ambientale dei parchi eolici.</w:t>
      </w:r>
    </w:p>
    <w:p w:rsidR="00F160F8" w:rsidRPr="0031103C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F8" w:rsidRPr="00F160F8" w:rsidRDefault="00F160F8" w:rsidP="00F160F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È possibile avere indicazioni più precise sulle metodologie per la raccolta dei dati e su indici/indicatori da utilizzare per la valutazione opera/ambiente?</w:t>
      </w:r>
    </w:p>
    <w:p w:rsidR="00F160F8" w:rsidRPr="00F800A4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Norme T</w:t>
      </w: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>ecniche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 xml:space="preserve"> in quanto tali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 xml:space="preserve"> forniscono indicazioni sui contenuti minimi del SIA. Le metodologie di campionamento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 gli indicatori/indici </w:t>
      </w: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 xml:space="preserve">dipendono dalle singole specie o dai diversi gruppi tassonomici, pertanto sarebbe stato impossibile trattarle in questa sede. Si rimanda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alle </w:t>
      </w:r>
      <w:r w:rsidRPr="00F800A4">
        <w:rPr>
          <w:rFonts w:ascii="Times New Roman" w:eastAsia="Times New Roman" w:hAnsi="Times New Roman"/>
          <w:sz w:val="24"/>
          <w:szCs w:val="24"/>
          <w:lang w:eastAsia="it-IT"/>
        </w:rPr>
        <w:t xml:space="preserve">“Linee Guida per la predisposizione del Progetto di Monitoraggio Ambientale (PMA) delle opere soggette a procedure di VIA (D.Lgs 152/2006 e s.m.i.; D.Lgs. 163/2006 e s.m.i.)” - MATTM con collaborazione di ISPRA e MIBACT, 2014. pubblicazione on-line </w:t>
      </w:r>
    </w:p>
    <w:p w:rsidR="00F160F8" w:rsidRDefault="00B65681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hyperlink r:id="rId6" w:history="1">
        <w:r w:rsidR="00F160F8" w:rsidRPr="00362501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https://va.minambiente.it/it-IT/DatiEStrumenti/MetadatoRisorsaCondivisione/1da3d616-c0a3-4e65-8e48-f67bc355957a</w:t>
        </w:r>
      </w:hyperlink>
    </w:p>
    <w:p w:rsidR="00F160F8" w:rsidRPr="00F800A4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F8" w:rsidRPr="0031103C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F8" w:rsidRPr="00F160F8" w:rsidRDefault="00F160F8" w:rsidP="00F160F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proofErr w:type="gramStart"/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E’</w:t>
      </w:r>
      <w:proofErr w:type="gramEnd"/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 possibile definire il concetto di analisi dello stato di fatto nei termini di cartografia della vegetazione? spesso i proponenti usano la cartografia dell'uso del suolo e/o </w:t>
      </w:r>
      <w:r w:rsidRPr="00F160F8">
        <w:rPr>
          <w:rFonts w:ascii="Times New Roman" w:eastAsia="Times New Roman" w:hAnsi="Times New Roman"/>
          <w:b/>
          <w:i/>
          <w:noProof w:val="0"/>
          <w:color w:val="FF0000"/>
          <w:sz w:val="24"/>
          <w:szCs w:val="24"/>
          <w:lang w:eastAsia="it-IT"/>
        </w:rPr>
        <w:t>corine biotopes</w:t>
      </w: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 che risultano altamente generiche</w:t>
      </w:r>
      <w: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. S</w:t>
      </w: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iete dell'avviso di realizzare una cartografia ad hoc su base fitosociologica entro un buffer che dipende dalle caratteristiche dell'opera?</w:t>
      </w:r>
    </w:p>
    <w:p w:rsidR="00F160F8" w:rsidRPr="0031103C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>Certamente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 La</w:t>
      </w:r>
      <w:r w:rsidRPr="002319CB">
        <w:rPr>
          <w:rFonts w:ascii="Times New Roman" w:eastAsia="Times New Roman" w:hAnsi="Times New Roman"/>
          <w:sz w:val="24"/>
          <w:szCs w:val="24"/>
          <w:lang w:eastAsia="it-IT"/>
        </w:rPr>
        <w:t xml:space="preserve"> carta della vegetazione deve essere redatta su base fitosociologica e non dell’uso del suolo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 Questo tema viene trattato nella proposta di Norme Tecniche.</w:t>
      </w:r>
    </w:p>
    <w:p w:rsidR="00F160F8" w:rsidRPr="0031103C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F8" w:rsidRPr="00F160F8" w:rsidRDefault="00F160F8" w:rsidP="00F160F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Impatti sulla biodiversità connessi a grandi impianti fotovoltaici</w:t>
      </w:r>
      <w:r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:</w:t>
      </w: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 vi sono studi in merito?</w:t>
      </w:r>
    </w:p>
    <w:p w:rsidR="00F160F8" w:rsidRPr="00735E18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Tra gli impatti da considerare vi è il consumo di suolo e quindi la perdita di habitat per le specie. Tali opere possono</w:t>
      </w:r>
      <w:r w:rsidRPr="00735E18">
        <w:rPr>
          <w:rFonts w:ascii="Times New Roman" w:eastAsia="Times New Roman" w:hAnsi="Times New Roman"/>
          <w:sz w:val="24"/>
          <w:szCs w:val="24"/>
          <w:lang w:eastAsia="it-IT"/>
        </w:rPr>
        <w:t xml:space="preserve"> inoltre causare variazioni stagionali e diurne nel microclima di aria e suolo; modificare </w:t>
      </w:r>
      <w:r w:rsidRPr="00735E18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la temperatura, l</w:t>
      </w:r>
      <w:r w:rsidRPr="00735E18">
        <w:rPr>
          <w:rFonts w:ascii="Times New Roman" w:eastAsia="Times New Roman" w:hAnsi="Times New Roman"/>
          <w:bCs/>
          <w:sz w:val="24"/>
          <w:szCs w:val="24"/>
          <w:lang w:eastAsia="it-IT"/>
        </w:rPr>
        <w:t>’umidità</w:t>
      </w:r>
      <w:r w:rsidRPr="00735E18">
        <w:rPr>
          <w:rFonts w:ascii="Times New Roman" w:eastAsia="Times New Roman" w:hAnsi="Times New Roman"/>
          <w:sz w:val="24"/>
          <w:szCs w:val="24"/>
          <w:lang w:eastAsia="it-IT"/>
        </w:rPr>
        <w:t xml:space="preserve">, i </w:t>
      </w:r>
      <w:r w:rsidRPr="00735E18">
        <w:rPr>
          <w:rFonts w:ascii="Times New Roman" w:eastAsia="Times New Roman" w:hAnsi="Times New Roman"/>
          <w:bCs/>
          <w:sz w:val="24"/>
          <w:szCs w:val="24"/>
          <w:lang w:eastAsia="it-IT"/>
        </w:rPr>
        <w:t>processi fotosintetici</w:t>
      </w:r>
      <w:r w:rsidRPr="00735E18">
        <w:rPr>
          <w:rFonts w:ascii="Times New Roman" w:eastAsia="Times New Roman" w:hAnsi="Times New Roman"/>
          <w:sz w:val="24"/>
          <w:szCs w:val="24"/>
          <w:lang w:eastAsia="it-IT"/>
        </w:rPr>
        <w:t xml:space="preserve">, il </w:t>
      </w:r>
      <w:r w:rsidRPr="00735E18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tasso di crescita </w:t>
      </w:r>
      <w:r w:rsidRPr="00735E18">
        <w:rPr>
          <w:rFonts w:ascii="Times New Roman" w:eastAsia="Times New Roman" w:hAnsi="Times New Roman"/>
          <w:sz w:val="24"/>
          <w:szCs w:val="24"/>
          <w:lang w:eastAsia="it-IT"/>
        </w:rPr>
        <w:t xml:space="preserve">delle piante e quello di </w:t>
      </w:r>
      <w:r w:rsidRPr="00735E18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respirazione </w:t>
      </w:r>
      <w:r w:rsidRPr="00735E18">
        <w:rPr>
          <w:rFonts w:ascii="Times New Roman" w:eastAsia="Times New Roman" w:hAnsi="Times New Roman"/>
          <w:sz w:val="24"/>
          <w:szCs w:val="24"/>
          <w:lang w:eastAsia="it-IT"/>
        </w:rPr>
        <w:t>dell’ecosistema.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F160F8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ISPRA non ha mai trattato questo tipo di opere in quanto gli </w:t>
      </w:r>
      <w:r w:rsidRPr="009705B3">
        <w:rPr>
          <w:rFonts w:ascii="Times New Roman" w:eastAsia="Times New Roman" w:hAnsi="Times New Roman"/>
          <w:sz w:val="24"/>
          <w:szCs w:val="24"/>
          <w:lang w:eastAsia="it-IT"/>
        </w:rPr>
        <w:t xml:space="preserve">impianti fotovoltaici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sono soggetti </w:t>
      </w:r>
      <w:r w:rsidRPr="009705B3">
        <w:rPr>
          <w:rFonts w:ascii="Times New Roman" w:eastAsia="Times New Roman" w:hAnsi="Times New Roman"/>
          <w:sz w:val="24"/>
          <w:szCs w:val="24"/>
          <w:lang w:eastAsia="it-IT"/>
        </w:rPr>
        <w:t>a valutazione regionale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</w:t>
      </w:r>
      <w:r w:rsidRPr="009705B3">
        <w:rPr>
          <w:rFonts w:ascii="Times New Roman" w:eastAsia="Times New Roman" w:hAnsi="Times New Roman"/>
          <w:sz w:val="24"/>
          <w:szCs w:val="24"/>
          <w:lang w:eastAsia="it-IT"/>
        </w:rPr>
        <w:t xml:space="preserve"> non nazionale.</w:t>
      </w:r>
      <w:r w:rsidRPr="005964C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Per avere maggiori informazioni, si consiglia di fare riferimento agli uffici VIA delle Regioni. </w:t>
      </w:r>
    </w:p>
    <w:p w:rsidR="00F160F8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</w:pPr>
    </w:p>
    <w:p w:rsidR="00F160F8" w:rsidRPr="007E6992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</w:pPr>
    </w:p>
    <w:p w:rsidR="00F160F8" w:rsidRPr="00F160F8" w:rsidRDefault="00F160F8" w:rsidP="00F160F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Relativamente alla tutela dell'avifauna da potenziali schianti con linee elettriche e funiviarie vi sono studi disponibili?</w:t>
      </w:r>
    </w:p>
    <w:p w:rsidR="00F160F8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Si, esistono delle pubblicazioni specifiche ISPRA che riguardano in particolare la collisione con i cavidotti aerei. Tali pubblicazioni si possono consultare sul sito dell’ISPRA alla voce pubblicazioni.</w:t>
      </w:r>
    </w:p>
    <w:p w:rsidR="00F160F8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F8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F8" w:rsidRPr="00F160F8" w:rsidRDefault="00F160F8" w:rsidP="00F160F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</w:pPr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Le IBA (</w:t>
      </w:r>
      <w:proofErr w:type="spellStart"/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Important</w:t>
      </w:r>
      <w:proofErr w:type="spellEnd"/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 xml:space="preserve"> Birds </w:t>
      </w:r>
      <w:proofErr w:type="spellStart"/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Areas</w:t>
      </w:r>
      <w:proofErr w:type="spellEnd"/>
      <w:r w:rsidRPr="00F160F8">
        <w:rPr>
          <w:rFonts w:ascii="Times New Roman" w:eastAsia="Times New Roman" w:hAnsi="Times New Roman"/>
          <w:b/>
          <w:noProof w:val="0"/>
          <w:color w:val="FF0000"/>
          <w:sz w:val="24"/>
          <w:szCs w:val="24"/>
          <w:lang w:eastAsia="it-IT"/>
        </w:rPr>
        <w:t>) devono essere considerate elementi vincolanti come le aree protette e i siti Natura 2000?</w:t>
      </w:r>
    </w:p>
    <w:p w:rsidR="00F160F8" w:rsidRPr="00CD0715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BD41B1">
        <w:rPr>
          <w:rFonts w:ascii="Times New Roman" w:eastAsia="Times New Roman" w:hAnsi="Times New Roman"/>
          <w:sz w:val="24"/>
          <w:szCs w:val="24"/>
          <w:lang w:eastAsia="it-IT"/>
        </w:rPr>
        <w:t xml:space="preserve">La Corte di Giustizia Europea (sentenza C-3/96 del 19/5/98) ha riconosciuto il ruolo dell’inventario delle IBA (Important Bird Area) di Birdlife International come strumento scientifico per l’identificazione dei siti da tutelare come ZPS (Direttiva 2009/147/CE – Direttiva “Uccelli” concernente la conservazione degli uccelli selvatici).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Tali aree non sono classificate in senso stretto come aree protette, ma essendo </w:t>
      </w:r>
      <w:r w:rsidRPr="00BD41B1">
        <w:rPr>
          <w:rFonts w:ascii="Times New Roman" w:eastAsia="Times New Roman" w:hAnsi="Times New Roman"/>
          <w:sz w:val="24"/>
          <w:szCs w:val="24"/>
          <w:lang w:eastAsia="it-IT"/>
        </w:rPr>
        <w:t>aree di interesse consevazionistico è necessario effettuare un’attenta analisi e valutazione dei possibili impatti e/o interferenze arrecati da opere o progetti.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F160F8" w:rsidRPr="00CD0715" w:rsidRDefault="00F160F8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7A2E69" w:rsidRPr="00F160F8" w:rsidRDefault="007A2E69" w:rsidP="00F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it-IT"/>
        </w:rPr>
      </w:pPr>
    </w:p>
    <w:sectPr w:rsidR="007A2E69" w:rsidRPr="00F160F8" w:rsidSect="006D2445">
      <w:pgSz w:w="11906" w:h="16838"/>
      <w:pgMar w:top="1417" w:right="1134" w:bottom="1134" w:left="1134" w:header="708" w:footer="708" w:gutter="0"/>
      <w:pgBorders w:offsetFrom="page">
        <w:top w:val="single" w:sz="18" w:space="24" w:color="538135"/>
        <w:left w:val="single" w:sz="18" w:space="24" w:color="538135"/>
        <w:bottom w:val="single" w:sz="18" w:space="24" w:color="538135"/>
        <w:right w:val="single" w:sz="18" w:space="24" w:color="53813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4E1E"/>
    <w:multiLevelType w:val="hybridMultilevel"/>
    <w:tmpl w:val="9DDEE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2182"/>
    <w:multiLevelType w:val="hybridMultilevel"/>
    <w:tmpl w:val="3DE0428A"/>
    <w:lvl w:ilvl="0" w:tplc="B4525E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C0C83"/>
    <w:multiLevelType w:val="hybridMultilevel"/>
    <w:tmpl w:val="77D0E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A39CC"/>
    <w:multiLevelType w:val="hybridMultilevel"/>
    <w:tmpl w:val="0E646C92"/>
    <w:lvl w:ilvl="0" w:tplc="B4525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E7F"/>
    <w:multiLevelType w:val="hybridMultilevel"/>
    <w:tmpl w:val="95D0DFD0"/>
    <w:lvl w:ilvl="0" w:tplc="B4525E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EA2863"/>
    <w:multiLevelType w:val="hybridMultilevel"/>
    <w:tmpl w:val="895E5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69"/>
    <w:rsid w:val="0002075A"/>
    <w:rsid w:val="000933E1"/>
    <w:rsid w:val="001125A7"/>
    <w:rsid w:val="001164A9"/>
    <w:rsid w:val="00142D0F"/>
    <w:rsid w:val="00164CCA"/>
    <w:rsid w:val="00165000"/>
    <w:rsid w:val="00167AF5"/>
    <w:rsid w:val="001E031E"/>
    <w:rsid w:val="001E5F1E"/>
    <w:rsid w:val="002406E7"/>
    <w:rsid w:val="002429A0"/>
    <w:rsid w:val="002C5BA9"/>
    <w:rsid w:val="002F3AF9"/>
    <w:rsid w:val="00302A5D"/>
    <w:rsid w:val="003214EB"/>
    <w:rsid w:val="003259E0"/>
    <w:rsid w:val="003C3D4C"/>
    <w:rsid w:val="003D790B"/>
    <w:rsid w:val="004008DF"/>
    <w:rsid w:val="00410F9E"/>
    <w:rsid w:val="00454C45"/>
    <w:rsid w:val="004C7D54"/>
    <w:rsid w:val="004D4392"/>
    <w:rsid w:val="005413CC"/>
    <w:rsid w:val="00541622"/>
    <w:rsid w:val="0054251A"/>
    <w:rsid w:val="00553EA7"/>
    <w:rsid w:val="00600B0F"/>
    <w:rsid w:val="0062132C"/>
    <w:rsid w:val="00640C97"/>
    <w:rsid w:val="00643EF4"/>
    <w:rsid w:val="006519BA"/>
    <w:rsid w:val="00673B90"/>
    <w:rsid w:val="006C0174"/>
    <w:rsid w:val="006C4116"/>
    <w:rsid w:val="006D2445"/>
    <w:rsid w:val="006D64E3"/>
    <w:rsid w:val="006D6B2B"/>
    <w:rsid w:val="006F7BA9"/>
    <w:rsid w:val="00755781"/>
    <w:rsid w:val="007A2E69"/>
    <w:rsid w:val="007D50C8"/>
    <w:rsid w:val="007E4A5E"/>
    <w:rsid w:val="007F2A55"/>
    <w:rsid w:val="007F71B1"/>
    <w:rsid w:val="00814B58"/>
    <w:rsid w:val="008158D5"/>
    <w:rsid w:val="008D21B9"/>
    <w:rsid w:val="00914913"/>
    <w:rsid w:val="00914D94"/>
    <w:rsid w:val="00917069"/>
    <w:rsid w:val="009B2B87"/>
    <w:rsid w:val="009E5543"/>
    <w:rsid w:val="009E6AE7"/>
    <w:rsid w:val="009F6AAB"/>
    <w:rsid w:val="00A210BD"/>
    <w:rsid w:val="00A80D84"/>
    <w:rsid w:val="00A80E26"/>
    <w:rsid w:val="00A85E1D"/>
    <w:rsid w:val="00A91A05"/>
    <w:rsid w:val="00A971A1"/>
    <w:rsid w:val="00AB200E"/>
    <w:rsid w:val="00AC7979"/>
    <w:rsid w:val="00AD2151"/>
    <w:rsid w:val="00AD7834"/>
    <w:rsid w:val="00AE02F1"/>
    <w:rsid w:val="00AE3010"/>
    <w:rsid w:val="00AE30F2"/>
    <w:rsid w:val="00AF6F1F"/>
    <w:rsid w:val="00B25BAA"/>
    <w:rsid w:val="00B35AEA"/>
    <w:rsid w:val="00B5384C"/>
    <w:rsid w:val="00B57D45"/>
    <w:rsid w:val="00B6623B"/>
    <w:rsid w:val="00B7773B"/>
    <w:rsid w:val="00B931B0"/>
    <w:rsid w:val="00BB23A8"/>
    <w:rsid w:val="00C44232"/>
    <w:rsid w:val="00CB53A0"/>
    <w:rsid w:val="00CE16FC"/>
    <w:rsid w:val="00D30210"/>
    <w:rsid w:val="00D350DF"/>
    <w:rsid w:val="00D462EB"/>
    <w:rsid w:val="00D54DC0"/>
    <w:rsid w:val="00D62C94"/>
    <w:rsid w:val="00D71215"/>
    <w:rsid w:val="00D712D2"/>
    <w:rsid w:val="00DB669A"/>
    <w:rsid w:val="00DD48CE"/>
    <w:rsid w:val="00E33EEA"/>
    <w:rsid w:val="00E609E7"/>
    <w:rsid w:val="00E70EA6"/>
    <w:rsid w:val="00EA788A"/>
    <w:rsid w:val="00EB5B67"/>
    <w:rsid w:val="00F160F8"/>
    <w:rsid w:val="00F92BE8"/>
    <w:rsid w:val="00FC5138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CE4"/>
  <w15:docId w15:val="{48EF33CD-2E59-4B59-B697-C8C071FA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4116"/>
    <w:pPr>
      <w:spacing w:after="160" w:line="259" w:lineRule="auto"/>
    </w:pPr>
    <w:rPr>
      <w:noProof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D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2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A2E6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C0174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6D244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uiPriority w:val="99"/>
    <w:semiHidden/>
    <w:unhideWhenUsed/>
    <w:rsid w:val="006D244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2445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AE30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16500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60F8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814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.minambiente.it/it-IT/DatiEStrumenti/MetadatoRisorsaCondivisione/1da3d616-c0a3-4e65-8e48-f67bc355957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Secci Margherita</dc:creator>
  <cp:lastModifiedBy>Lucia Viviana</cp:lastModifiedBy>
  <cp:revision>6</cp:revision>
  <dcterms:created xsi:type="dcterms:W3CDTF">2021-03-23T13:31:00Z</dcterms:created>
  <dcterms:modified xsi:type="dcterms:W3CDTF">2021-03-30T11:50:00Z</dcterms:modified>
</cp:coreProperties>
</file>